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Corbusier Chandigarh and the modern city insights into the iconic city sixty years later</w:t>
      </w:r>
    </w:p>
    <w:p>
      <w:r>
        <w:rPr>
          <w:rFonts w:ascii="宋体" w:hAnsi="宋体" w:eastAsia="宋体"/>
          <w:sz w:val="24"/>
        </w:rPr>
        <w:t>Hasan-Uddin Khan ; Julian Beinart ; Charles Correa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Corbusier Chandigarh and the modern city insights into the iconic city sixty years later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Hasan-Uddin Khan ; Julian Beinart ; Charles Correa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Mapin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本书出售、求购地址：https://www.jiaokey.com/book/detail/40819907.html</w:t>
      </w:r>
    </w:p>
    <w:p>
      <w:r>
        <w:t>更多相关图书推荐：https://www.jiaokey.com</w:t>
      </w:r>
    </w:p>
    <w:p>
      <w:r>
        <w:t>Hasan-Uddin Khan ; Julian Beinart ; Charles Correa 其他作品：https://www.jiaokey.com/tag/Hasan-Uddin Khan ; Julian Beinart ; Charles Correa.html</w:t>
      </w:r>
    </w:p>
    <w:p>
      <w:r>
        <w:t>Mapin Publishing 出版图书：https://www.jiaokey.com/tag/Mapin Publishing.html</w:t>
      </w:r>
    </w:p>
    <w:p>
      <w:r>
        <w:t>关键词搜索：https://www.jiaokey.com/tag/Le Corbusier Chandigarh and the modern city insights into the iconic city sixty years later.html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