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Radioactive Isotopes in Pharmacology</w:t>
      </w:r>
    </w:p>
    <w:p>
      <w:r>
        <w:rPr>
          <w:rFonts w:ascii="宋体" w:hAnsi="宋体" w:eastAsia="宋体"/>
          <w:sz w:val="24"/>
        </w:rPr>
        <w:t>edited by P. G. Waser and B. Glasson with the collaboration of A. Benakis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Radioactive Isotopes in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P. G. Waser and B. Glasson with the collaboration of A. Benakis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本书出售、求购地址：https://www.jiaokey.com/book/detail/40789266.html</w:t>
      </w:r>
    </w:p>
    <w:p>
      <w:r>
        <w:t>更多相关图书推荐：https://www.jiaokey.com</w:t>
      </w:r>
    </w:p>
    <w:p>
      <w:r>
        <w:t>edited by P. G. Waser and B. Glasson with the collaboration of A. Benakis and others 其他作品：https://www.jiaokey.com/tag/edited by P. G. Waser and B. Glasson with the collaboration of A. Benakis and others.html</w:t>
      </w:r>
    </w:p>
    <w:p>
      <w:r>
        <w:t>Wiley-Interscience 出版图书：https://www.jiaokey.com/tag/Wiley-Interscience.html</w:t>
      </w:r>
    </w:p>
    <w:p>
      <w:r>
        <w:t>关键词搜索：https://www.jiaokey.com/tag/International Conference on Radioactive Isotopes in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