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活性酸素と疾患:分子論的背景と生物の防衛戦略</w:t>
      </w:r>
    </w:p>
    <w:p>
      <w:r>
        <w:rPr>
          <w:rFonts w:ascii="宋体" w:hAnsi="宋体" w:eastAsia="宋体"/>
          <w:sz w:val="24"/>
        </w:rPr>
        <w:t>1987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活性酸素と疾患:分子論的背景と生物の防衛戦略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本书出售、求购地址：https://www.jiaokey.com/book/detail/40761571.html</w:t>
      </w:r>
    </w:p>
    <w:p>
      <w:r>
        <w:t>更多相关图书推荐：https://www.jiaokey.com</w:t>
      </w:r>
    </w:p>
    <w:p>
      <w:r>
        <w:t>1987 06 其他作品：https://www.jiaokey.com/tag/1987 06.html</w:t>
      </w:r>
    </w:p>
    <w:p>
      <w:r>
        <w:t>关键词搜索：https://www.jiaokey.com/tag/活性酸素と疾患:分子論的背景と生物の防衛戦略.html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