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Nonaqueous-phase liquids : remediation of chlorinated and recalcitrant compounds</w:t>
      </w:r>
    </w:p>
    <w:p>
      <w:r>
        <w:rPr>
          <w:rFonts w:ascii="宋体" w:hAnsi="宋体" w:eastAsia="宋体"/>
          <w:sz w:val="24"/>
        </w:rPr>
        <w:t>godage b.wickramanayake battelle robert e.hinchee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Nonaqueous-phase liquids : remediation of chlorinated and recalcitrant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godage b.wickramanayake battelle robert e.hinchee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本书出售、求购地址：https://www.jiaokey.com/book/detail/40757619.html</w:t>
      </w:r>
    </w:p>
    <w:p>
      <w:r>
        <w:t>更多相关图书推荐：https://www.jiaokey.com</w:t>
      </w:r>
    </w:p>
    <w:p>
      <w:r>
        <w:t>godage b.wickramanayake battelle robert e.hinchee 其他作品：https://www.jiaokey.com/tag/godage b.wickramanayake battelle robert e.hinchee.html</w:t>
      </w:r>
    </w:p>
    <w:p>
      <w:r>
        <w:t>Battelle Press 出版图书：https://www.jiaokey.com/tag/Battelle Press.html</w:t>
      </w:r>
    </w:p>
    <w:p>
      <w:r>
        <w:t>关键词搜索：https://www.jiaokey.com/tag/Nonaqueous-phase liquids : remediation of chlorinated and recalcitrant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