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a Trois for 2 clarinets and bassoon en si b et clarinette basse ou basson</w:t>
      </w:r>
    </w:p>
    <w:p>
      <w:r>
        <w:rPr>
          <w:rFonts w:ascii="宋体" w:hAnsi="宋体" w:eastAsia="宋体"/>
          <w:sz w:val="24"/>
        </w:rPr>
        <w:t>Charles Avison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a Trois for 2 clarinets and bassoon en si b et clarinette basse ou basson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BILLAUDOT Editer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本书出售、求购地址：https://www.jiaokey.com/book/detail/40741117.html</w:t>
      </w:r>
    </w:p>
    <w:p>
      <w:r>
        <w:t>更多相关图书推荐：https://www.jiaokey.com</w:t>
      </w:r>
    </w:p>
    <w:p>
      <w:r>
        <w:t>Charles Avison 其他作品：https://www.jiaokey.com/tag/Charles Avison.html</w:t>
      </w:r>
    </w:p>
    <w:p>
      <w:r>
        <w:t>BILLAUDOT Editer 出版图书：https://www.jiaokey.com/tag/BILLAUDOT Editer.html</w:t>
      </w:r>
    </w:p>
    <w:p>
      <w:r>
        <w:t>关键词搜索：https://www.jiaokey.com/tag/Sonate a Trois for 2 clarinets and bassoon en si b et clarinette basse ou basson.html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