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Canadian business law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Canadian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本书出售、求购地址：https://www.jiaokey.com/book/detail/40730559.html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关键词搜索：https://www.jiaokey.com/tag/Current issues in Canadian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