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 of charge density research to chemistry and drug design</w:t>
      </w:r>
    </w:p>
    <w:p>
      <w:r>
        <w:rPr>
          <w:rFonts w:ascii="宋体" w:hAnsi="宋体" w:eastAsia="宋体"/>
          <w:sz w:val="24"/>
        </w:rPr>
        <w:t>Jeffrey;George A.;Piniella;Juan F.;North Atlantic Treaty Organization. Scientific Affairs Division.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 of charge density research to chemistry and drug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Jeffrey;George A.;Piniella;Juan F.;North Atlantic Treaty Organization. Scientific Affairs Division.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本书出售、求购地址：https://www.jiaokey.com/book/detail/40711383.html</w:t>
      </w:r>
    </w:p>
    <w:p>
      <w:r>
        <w:t>更多相关图书推荐：https://www.jiaokey.com</w:t>
      </w:r>
    </w:p>
    <w:p>
      <w:r>
        <w:t>Jeffrey;George A.;Piniella;Juan F.;North Atlantic Treaty Organization. Scientific Affairs Division. 其他作品：https://www.jiaokey.com/tag/Jeffrey;George A.;Piniella;Juan F.;North Atlantic Treaty Organization. Scientific Affairs Division..html</w:t>
      </w:r>
    </w:p>
    <w:p>
      <w:r>
        <w:t>Plenum Press 出版图书：https://www.jiaokey.com/tag/Plenum Press.html</w:t>
      </w:r>
    </w:p>
    <w:p>
      <w:r>
        <w:t>关键词搜索：https://www.jiaokey.com/tag/The Application of charge density research to chemistry and drug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