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言葉の遅れた子供の指導法の実際</w:t>
      </w:r>
    </w:p>
    <w:p>
      <w:r>
        <w:rPr>
          <w:rFonts w:ascii="宋体" w:hAnsi="宋体" w:eastAsia="宋体"/>
          <w:sz w:val="24"/>
        </w:rPr>
        <w:t>加藤安雄〔ほか著〕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言葉の遅れた子供の指導法の実際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加藤安雄〔ほか著〕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安田生命社会事業団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本书出售、求购地址：https://www.jiaokey.com/book/detail/40702337.html</w:t>
      </w:r>
    </w:p>
    <w:p>
      <w:r>
        <w:t>更多相关图书推荐：https://www.jiaokey.com</w:t>
      </w:r>
    </w:p>
    <w:p>
      <w:r>
        <w:t>加藤安雄〔ほか著〕 其他作品：https://www.jiaokey.com/tag/加藤安雄〔ほか著〕.html</w:t>
      </w:r>
    </w:p>
    <w:p>
      <w:r>
        <w:t>安田生命社会事業団 出版图书：https://www.jiaokey.com/tag/安田生命社会事業団.html</w:t>
      </w:r>
    </w:p>
    <w:p>
      <w:r>
        <w:t>关键词搜索：https://www.jiaokey.com/tag/言葉の遅れた子供の指導法の実際.html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