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生涯学習の振興計画：計画の策定と推進体制の整備</w:t>
      </w:r>
    </w:p>
    <w:p>
      <w:r>
        <w:rPr>
          <w:rFonts w:ascii="宋体" w:hAnsi="宋体" w:eastAsia="宋体"/>
          <w:sz w:val="24"/>
        </w:rPr>
        <w:t>伊藤俊夫編著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生涯学習の振興計画：計画の策定と推進体制の整備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伊藤俊夫編著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本书出售、求购地址：https://www.jiaokey.com/book/detail/40702249.html</w:t>
      </w:r>
    </w:p>
    <w:p>
      <w:r>
        <w:t>更多相关图书推荐：https://www.jiaokey.com</w:t>
      </w:r>
    </w:p>
    <w:p>
      <w:r>
        <w:t>伊藤俊夫編著 其他作品：https://www.jiaokey.com/tag/伊藤俊夫編著.html</w:t>
      </w:r>
    </w:p>
    <w:p>
      <w:r>
        <w:t>日常 出版图书：https://www.jiaokey.com/tag/日常.html</w:t>
      </w:r>
    </w:p>
    <w:p>
      <w:r>
        <w:t>关键词搜索：https://www.jiaokey.com/tag/生涯学習の振興計画：計画の策定と推進体制の整備.html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