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中学校社会歴史学習の計画と展開</w:t>
      </w:r>
    </w:p>
    <w:p>
      <w:r>
        <w:rPr>
          <w:rFonts w:ascii="宋体" w:hAnsi="宋体" w:eastAsia="宋体"/>
          <w:sz w:val="24"/>
        </w:rPr>
        <w:t xml:space="preserve"> 平田嘉三編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中学校社会歴史学習の計画と展開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平田嘉三編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本书出售、求购地址：https://www.jiaokey.com/book/detail/40701295.html</w:t>
      </w:r>
    </w:p>
    <w:p>
      <w:r>
        <w:t>更多相关图书推荐：https://www.jiaokey.com</w:t>
      </w:r>
    </w:p>
    <w:p>
      <w:r>
        <w:t xml:space="preserve"> 平田嘉三編 其他作品：https://www.jiaokey.com/tag/ 平田嘉三編.html</w:t>
      </w:r>
    </w:p>
    <w:p>
      <w:r>
        <w:t>明治図書 出版图书：https://www.jiaokey.com/tag/明治図書.html</w:t>
      </w:r>
    </w:p>
    <w:p>
      <w:r>
        <w:t>关键词搜索：https://www.jiaokey.com/tag/中学校社会歴史学習の計画と展開.html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