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学校を活性化する経営診断と経営改善</w:t>
      </w:r>
    </w:p>
    <w:p>
      <w:r>
        <w:rPr>
          <w:rFonts w:ascii="宋体" w:hAnsi="宋体" w:eastAsia="宋体"/>
          <w:sz w:val="24"/>
        </w:rPr>
        <w:t>福岡県教育研究所連盟編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学校を活性化する経営診断と経営改善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福岡県教育研究所連盟編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本书出售、求购地址：https://www.jiaokey.com/book/detail/40700893.html</w:t>
      </w:r>
    </w:p>
    <w:p>
      <w:r>
        <w:t>更多相关图书推荐：https://www.jiaokey.com</w:t>
      </w:r>
    </w:p>
    <w:p>
      <w:r>
        <w:t>福岡県教育研究所連盟編 其他作品：https://www.jiaokey.com/tag/福岡県教育研究所連盟編.html</w:t>
      </w:r>
    </w:p>
    <w:p>
      <w:r>
        <w:t>第一法規 出版图书：https://www.jiaokey.com/tag/第一法規.html</w:t>
      </w:r>
    </w:p>
    <w:p>
      <w:r>
        <w:t>关键词搜索：https://www.jiaokey.com/tag/学校を活性化する経営診断と経営改善.html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