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教育基本法の立法思想：田中耕太郎の教育改革思想研究</w:t>
      </w:r>
    </w:p>
    <w:p>
      <w:r>
        <w:rPr>
          <w:rFonts w:ascii="宋体" w:hAnsi="宋体" w:eastAsia="宋体"/>
          <w:sz w:val="24"/>
        </w:rPr>
        <w:t>勝野尚行著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教育基本法の立法思想：田中耕太郎の教育改革思想研究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勝野尚行著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本书出售、求购地址：https://www.jiaokey.com/book/detail/40700523.html</w:t>
      </w:r>
    </w:p>
    <w:p>
      <w:r>
        <w:t>更多相关图书推荐：https://www.jiaokey.com</w:t>
      </w:r>
    </w:p>
    <w:p>
      <w:r>
        <w:t>勝野尚行著 其他作品：https://www.jiaokey.com/tag/勝野尚行著.html</w:t>
      </w:r>
    </w:p>
    <w:p>
      <w:r>
        <w:t>法律文化社 出版图书：https://www.jiaokey.com/tag/法律文化社.html</w:t>
      </w:r>
    </w:p>
    <w:p>
      <w:r>
        <w:t>关键词搜索：https://www.jiaokey.com/tag/教育基本法の立法思想：田中耕太郎の教育改革思想研究.html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