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先進校の实践分析から探る：新教育课程の课題</w:t>
      </w:r>
    </w:p>
    <w:p>
      <w:r>
        <w:rPr>
          <w:rFonts w:ascii="宋体" w:hAnsi="宋体" w:eastAsia="宋体"/>
          <w:sz w:val="24"/>
        </w:rPr>
        <w:t>水越敏行编著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先進校の实践分析から探る：新教育课程の课題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水越敏行编著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本书出售、求购地址：https://www.jiaokey.com/book/detail/40699794.html</w:t>
      </w:r>
    </w:p>
    <w:p>
      <w:r>
        <w:t>更多相关图书推荐：https://www.jiaokey.com</w:t>
      </w:r>
    </w:p>
    <w:p>
      <w:r>
        <w:t>水越敏行编著 其他作品：https://www.jiaokey.com/tag/水越敏行编著.html</w:t>
      </w:r>
    </w:p>
    <w:p>
      <w:r>
        <w:t>图書文化社 出版图书：https://www.jiaokey.com/tag/图書文化社.html</w:t>
      </w:r>
    </w:p>
    <w:p>
      <w:r>
        <w:t>关键词搜索：https://www.jiaokey.com/tag/先進校の实践分析から探る：新教育课程の课題.html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