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Lifespan development infancy through adulthood</w:t>
      </w:r>
    </w:p>
    <w:p>
      <w:r>
        <w:rPr>
          <w:rFonts w:ascii="宋体" w:hAnsi="宋体" w:eastAsia="宋体"/>
          <w:sz w:val="24"/>
        </w:rPr>
        <w:t>laurence steinberg and marc H.bornstein and deborah lowe vandell and karen S.rook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Lifespan development infancy through adulthood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steinberg and marc H.bornstein and deborah lowe vandell and karen S.rook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本书出售、求购地址：https://www.jiaokey.com/book/detail/40697523.html</w:t>
      </w:r>
    </w:p>
    <w:p>
      <w:r>
        <w:t>更多相关图书推荐：https://www.jiaokey.com</w:t>
      </w:r>
    </w:p>
    <w:p>
      <w:r>
        <w:t>laurence steinberg and marc H.bornstein and deborah lowe vandell and karen S.rook 其他作品：https://www.jiaokey.com/tag/laurence steinberg and marc H.bornstein and deborah lowe vandell and karen S.rook.html</w:t>
      </w:r>
    </w:p>
    <w:p>
      <w:r>
        <w:t>Wadsworth 出版图书：https://www.jiaokey.com/tag/Wadsworth.html</w:t>
      </w:r>
    </w:p>
    <w:p>
      <w:r>
        <w:t>关键词搜索：https://www.jiaokey.com/tag/Lifespan development infancy through adulthood.html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