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SCHUTZFAHIGKEIT DER MARKE IN GROBBRITANNIEN UND DEN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SCHUTZFAHIGKEIT DER MARKE IN GROBBRITANNIEN UND DEN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本书出售、求购地址：https://www.jiaokey.com/book/detail/40693988.html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关键词搜索：https://www.jiaokey.com/tag/DIE SCHUTZFAHIGKEIT DER MARKE IN GROBBRITANNIEN UND DEN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