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心理的風土とパーソナリティ：行動、組織、文化への展開</w:t>
      </w:r>
    </w:p>
    <w:p>
      <w:r>
        <w:rPr>
          <w:rFonts w:ascii="宋体" w:hAnsi="宋体" w:eastAsia="宋体"/>
          <w:sz w:val="24"/>
        </w:rPr>
        <w:t>足立明久著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心理的風土とパーソナリティ：行動、組織、文化への展開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足立明久著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劲草書房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本书出售、求购地址：https://www.jiaokey.com/book/detail/40688748.html</w:t>
      </w:r>
    </w:p>
    <w:p>
      <w:r>
        <w:t>更多相关图书推荐：https://www.jiaokey.com</w:t>
      </w:r>
    </w:p>
    <w:p>
      <w:r>
        <w:t>足立明久著 其他作品：https://www.jiaokey.com/tag/足立明久著.html</w:t>
      </w:r>
    </w:p>
    <w:p>
      <w:r>
        <w:t>劲草書房 出版图书：https://www.jiaokey.com/tag/劲草書房.html</w:t>
      </w:r>
    </w:p>
    <w:p>
      <w:r>
        <w:t>关键词搜索：https://www.jiaokey.com/tag/心理的風土とパーソナリティ：行動、組織、文化への展開.html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