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土田杏村と自由大学運動：教育者としての生涯と業績</w:t>
      </w:r>
    </w:p>
    <w:p>
      <w:r>
        <w:rPr>
          <w:rFonts w:ascii="宋体" w:hAnsi="宋体" w:eastAsia="宋体"/>
          <w:sz w:val="24"/>
        </w:rPr>
        <w:t>上木敏郎著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土田杏村と自由大学運動：教育者としての生涯と業績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上木敏郎著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本书出售、求购地址：https://www.jiaokey.com/book/detail/40688565.html</w:t>
      </w:r>
    </w:p>
    <w:p>
      <w:r>
        <w:t>更多相关图书推荐：https://www.jiaokey.com</w:t>
      </w:r>
    </w:p>
    <w:p>
      <w:r>
        <w:t>上木敏郎著 其他作品：https://www.jiaokey.com/tag/上木敏郎著.html</w:t>
      </w:r>
    </w:p>
    <w:p>
      <w:r>
        <w:t>誠文堂新光社 出版图书：https://www.jiaokey.com/tag/誠文堂新光社.html</w:t>
      </w:r>
    </w:p>
    <w:p>
      <w:r>
        <w:t>关键词搜索：https://www.jiaokey.com/tag/土田杏村と自由大学運動：教育者としての生涯と業績.html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