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高等学校古典漢文編u3000</w:t>
      </w:r>
    </w:p>
    <w:p>
      <w:r>
        <w:rPr>
          <w:rFonts w:ascii="宋体" w:hAnsi="宋体" w:eastAsia="宋体"/>
          <w:sz w:val="24"/>
        </w:rPr>
        <w:t>柴田武·金谷治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高等学校古典漢文編u3000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柴田武·金谷治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本书出售、求购地址：https://www.jiaokey.com/book/detail/40678535.html</w:t>
      </w:r>
    </w:p>
    <w:p>
      <w:r>
        <w:t>更多相关图书推荐：https://www.jiaokey.com</w:t>
      </w:r>
    </w:p>
    <w:p>
      <w:r>
        <w:t>柴田武·金谷治 其他作品：https://www.jiaokey.com/tag/柴田武·金谷治.html</w:t>
      </w:r>
    </w:p>
    <w:p>
      <w:r>
        <w:t>三省堂株式会社 出版图书：https://www.jiaokey.com/tag/三省堂株式会社.html</w:t>
      </w:r>
    </w:p>
    <w:p>
      <w:r>
        <w:t>关键词搜索：https://www.jiaokey.com/tag/高等学校古典漢文編u3000.html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