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HUMAN RIGHTS TO INTERNATIONAL CRIMINAL LAW  DES DROITS DE L’HOMME AU DROIT INTERNATIONAL PENAL</w:t>
      </w:r>
    </w:p>
    <w:p>
      <w:r>
        <w:rPr>
          <w:rFonts w:ascii="宋体" w:hAnsi="宋体" w:eastAsia="宋体"/>
          <w:sz w:val="24"/>
        </w:rPr>
        <w:t>SOW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HUMAN RIGHTS TO INTERNATIONAL CRIMINAL LAW  DES DROITS DE L’HOMME AU DROIT INTERNATIONAL PENAL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本书出售、求购地址：https://www.jiaokey.com/book/detail/40661309.html</w:t>
      </w:r>
    </w:p>
    <w:p>
      <w:r>
        <w:t>更多相关图书推荐：https://www.jiaokey.com</w:t>
      </w:r>
    </w:p>
    <w:p>
      <w:r>
        <w:t>SOW 其他作品：https://www.jiaokey.com/tag/SOW.html</w:t>
      </w:r>
    </w:p>
    <w:p>
      <w:r>
        <w:t>MARTINUS NIJHOFF 出版图书：https://www.jiaokey.com/tag/MARTINUS NIJHOFF.html</w:t>
      </w:r>
    </w:p>
    <w:p>
      <w:r>
        <w:t>关键词搜索：https://www.jiaokey.com/tag/FROM HUMAN RIGHTS TO INTERNATIONAL CRIMINAL LAW  DES DROITS DE L’HOMME AU DROIT INTERNATIONAL PENAL.html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