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Anwendung von Seekriegsrecht in militarischen Konflikten seit 1945</w:t>
      </w:r>
    </w:p>
    <w:p>
      <w:r>
        <w:rPr>
          <w:rFonts w:ascii="宋体" w:hAnsi="宋体" w:eastAsia="宋体"/>
          <w:sz w:val="24"/>
        </w:rPr>
        <w:t>Institut fur Internat. Angelegenheiten d. Univ. Hamburg ;Metzner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Anwendung von Seekriegsrecht in militarischen Konflikten seit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 fur Internat. Angelegenheiten d. Univ. Hamburg ;Metzner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本书出售、求购地址：https://www.jiaokey.com/book/detail/40661306.html</w:t>
      </w:r>
    </w:p>
    <w:p>
      <w:r>
        <w:t>更多相关图书推荐：https://www.jiaokey.com</w:t>
      </w:r>
    </w:p>
    <w:p>
      <w:r>
        <w:t>Institut fur Internat. Angelegenheiten d. Univ. Hamburg ;Metzner 其他作品：https://www.jiaokey.com/tag/Institut fur Internat. Angelegenheiten d. Univ. Hamburg ;Metzner.html</w:t>
      </w:r>
    </w:p>
    <w:p>
      <w:r>
        <w:t>关键词搜索：https://www.jiaokey.com/tag/Die Anwendung von Seekriegsrecht in militarischen Konflikten seit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