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早稲田大学日本語教育学u30002012?2</w:t>
      </w:r>
    </w:p>
    <w:p>
      <w:r>
        <w:rPr>
          <w:rFonts w:ascii="宋体" w:hAnsi="宋体" w:eastAsia="宋体"/>
          <w:sz w:val="24"/>
        </w:rPr>
        <w:t>細川英雄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早稲田大学日本語教育学u30002012?2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細川英雄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早稲田大学大学院日本語教育研究科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本书出售、求购地址：https://www.jiaokey.com/book/detail/40658657.html</w:t>
      </w:r>
    </w:p>
    <w:p>
      <w:r>
        <w:t>更多相关图书推荐：https://www.jiaokey.com</w:t>
      </w:r>
    </w:p>
    <w:p>
      <w:r>
        <w:t>細川英雄 其他作品：https://www.jiaokey.com/tag/細川英雄.html</w:t>
      </w:r>
    </w:p>
    <w:p>
      <w:r>
        <w:t>早稲田大学大学院日本語教育研究科 出版图书：https://www.jiaokey.com/tag/早稲田大学大学院日本語教育研究科.html</w:t>
      </w:r>
    </w:p>
    <w:p>
      <w:r>
        <w:t>关键词搜索：https://www.jiaokey.com/tag/早稲田大学日本語教育学u30002012?2.html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