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満蒙管理論  支那の本質と列国の対支政策検討</w:t>
      </w:r>
    </w:p>
    <w:p>
      <w:r>
        <w:rPr>
          <w:rFonts w:ascii="宋体" w:hAnsi="宋体" w:eastAsia="宋体"/>
          <w:sz w:val="24"/>
        </w:rPr>
        <w:t>細野繁勝著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満蒙管理論  支那の本質と列国の対支政策検討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細野繁勝著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巧藝社  民友社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本书出售、求购地址：https://www.jiaokey.com/book/detail/40656745.html</w:t>
      </w:r>
    </w:p>
    <w:p>
      <w:r>
        <w:t>更多相关图书推荐：https://www.jiaokey.com</w:t>
      </w:r>
    </w:p>
    <w:p>
      <w:r>
        <w:t>細野繁勝著 其他作品：https://www.jiaokey.com/tag/細野繁勝著.html</w:t>
      </w:r>
    </w:p>
    <w:p>
      <w:r>
        <w:t>巧藝社  民友社 出版图书：https://www.jiaokey.com/tag/巧藝社  民友社.html</w:t>
      </w:r>
    </w:p>
    <w:p>
      <w:r>
        <w:t>关键词搜索：https://www.jiaokey.com/tag/満蒙管理論  支那の本質と列国の対支政策検討.html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