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人民元改革と中国経済の近未来</w:t>
      </w:r>
    </w:p>
    <w:p>
      <w:r>
        <w:rPr>
          <w:rFonts w:ascii="宋体" w:hAnsi="宋体" w:eastAsia="宋体"/>
          <w:sz w:val="24"/>
        </w:rPr>
        <w:t>榊原英資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人民元改革と中国経済の近未来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榊原英資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本书出售、求购地址：https://www.jiaokey.com/book/detail/40656308.html</w:t>
      </w:r>
    </w:p>
    <w:p>
      <w:r>
        <w:t>更多相关图书推荐：https://www.jiaokey.com</w:t>
      </w:r>
    </w:p>
    <w:p>
      <w:r>
        <w:t>榊原英資 其他作品：https://www.jiaokey.com/tag/榊原英資.html</w:t>
      </w:r>
    </w:p>
    <w:p>
      <w:r>
        <w:t>株式会社u3000角川書店 出版图书：https://www.jiaokey.com/tag/株式会社u3000角川書店.html</w:t>
      </w:r>
    </w:p>
    <w:p>
      <w:r>
        <w:t>关键词搜索：https://www.jiaokey.com/tag/人民元改革と中国経済の近未来.html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