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どんな時どう使う日本語表現文型500</w:t>
      </w:r>
    </w:p>
    <w:p>
      <w:r>
        <w:rPr>
          <w:rFonts w:ascii="宋体" w:hAnsi="宋体" w:eastAsia="宋体"/>
          <w:sz w:val="24"/>
        </w:rPr>
        <w:t>友松悦子 [ほか]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どんな時どう使う日本語表現文型500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友松悦子 [ほか]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本书出售、求购地址：https://www.jiaokey.com/book/detail/40646562.html</w:t>
      </w:r>
    </w:p>
    <w:p>
      <w:r>
        <w:t>更多相关图书推荐：https://www.jiaokey.com</w:t>
      </w:r>
    </w:p>
    <w:p>
      <w:r>
        <w:t>友松悦子 [ほか] 著 其他作品：https://www.jiaokey.com/tag/友松悦子 [ほか] 著.html</w:t>
      </w:r>
    </w:p>
    <w:p>
      <w:r>
        <w:t>アルク 出版图书：https://www.jiaokey.com/tag/アルク.html</w:t>
      </w:r>
    </w:p>
    <w:p>
      <w:r>
        <w:t>关键词搜索：https://www.jiaokey.com/tag/どんな時どう使う日本語表現文型500.html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