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金解禁の影響と對策 新平價金解禁の提唱</w:t>
      </w:r>
    </w:p>
    <w:p>
      <w:r>
        <w:rPr>
          <w:rFonts w:ascii="宋体" w:hAnsi="宋体" w:eastAsia="宋体"/>
          <w:sz w:val="24"/>
        </w:rPr>
        <w:t>石橋湛山著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金解禁の影響と對策 新平價金解禁の提唱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東洋經濟新報社出版部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本书出售、求购地址：https://www.jiaokey.com/book/detail/40643681.html</w:t>
      </w:r>
    </w:p>
    <w:p>
      <w:r>
        <w:t>更多相关图书推荐：https://www.jiaokey.com</w:t>
      </w:r>
    </w:p>
    <w:p>
      <w:r>
        <w:t>石橋湛山著 其他作品：https://www.jiaokey.com/tag/石橋湛山著.html</w:t>
      </w:r>
    </w:p>
    <w:p>
      <w:r>
        <w:t>東洋經濟新報社出版部 出版图书：https://www.jiaokey.com/tag/東洋經濟新報社出版部.html</w:t>
      </w:r>
    </w:p>
    <w:p>
      <w:r>
        <w:t>关键词搜索：https://www.jiaokey.com/tag/金解禁の影響と對策 新平價金解禁の提唱.html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