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現代稲作の技術構造:田植の機械化を視点にして</w:t>
      </w:r>
    </w:p>
    <w:p>
      <w:r>
        <w:rPr>
          <w:rFonts w:ascii="宋体" w:hAnsi="宋体" w:eastAsia="宋体"/>
          <w:sz w:val="24"/>
        </w:rPr>
        <w:t>波多野忠雄著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現代稲作の技術構造:田植の機械化を視点にして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波多野忠雄著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農林統計協会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本书出售、求购地址：https://www.jiaokey.com/book/detail/40638775.html</w:t>
      </w:r>
    </w:p>
    <w:p>
      <w:r>
        <w:t>更多相关图书推荐：https://www.jiaokey.com</w:t>
      </w:r>
    </w:p>
    <w:p>
      <w:r>
        <w:t>波多野忠雄著 其他作品：https://www.jiaokey.com/tag/波多野忠雄著.html</w:t>
      </w:r>
    </w:p>
    <w:p>
      <w:r>
        <w:t>農林統計協会 出版图书：https://www.jiaokey.com/tag/農林統計協会.html</w:t>
      </w:r>
    </w:p>
    <w:p>
      <w:r>
        <w:t>关键词搜索：https://www.jiaokey.com/tag/現代稲作の技術構造:田植の機械化を視点にして.html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