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皇民化政策から指紋押捺まで:在日朝鮮人の「昭和史」</w:t>
      </w:r>
    </w:p>
    <w:p>
      <w:r>
        <w:rPr>
          <w:rFonts w:ascii="宋体" w:hAnsi="宋体" w:eastAsia="宋体"/>
          <w:sz w:val="24"/>
        </w:rPr>
        <w:t>徐京植著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皇民化政策から指紋押捺まで:在日朝鮮人の「昭和史」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本书出售、求购地址：https://www.jiaokey.com/book/detail/40633640.html</w:t>
      </w:r>
    </w:p>
    <w:p>
      <w:r>
        <w:t>更多相关图书推荐：https://www.jiaokey.com</w:t>
      </w:r>
    </w:p>
    <w:p>
      <w:r>
        <w:t>徐京植著 其他作品：https://www.jiaokey.com/tag/徐京植著.html</w:t>
      </w:r>
    </w:p>
    <w:p>
      <w:r>
        <w:t>岩波書店 出版图书：https://www.jiaokey.com/tag/岩波書店.html</w:t>
      </w:r>
    </w:p>
    <w:p>
      <w:r>
        <w:t>关键词搜索：https://www.jiaokey.com/tag/皇民化政策から指紋押捺まで:在日朝鮮人の「昭和史」.html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