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フランスの人間学:エスプリの原点</w:t>
      </w:r>
    </w:p>
    <w:p>
      <w:r>
        <w:rPr>
          <w:rFonts w:ascii="宋体" w:hAnsi="宋体" w:eastAsia="宋体"/>
          <w:sz w:val="24"/>
        </w:rPr>
        <w:t>富田仁著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フランスの人間学:エスプリの原点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本书出售、求购地址：https://www.jiaokey.com/book/detail/40631732.html</w:t>
      </w:r>
    </w:p>
    <w:p>
      <w:r>
        <w:t>更多相关图书推荐：https://www.jiaokey.com</w:t>
      </w:r>
    </w:p>
    <w:p>
      <w:r>
        <w:t>富田仁著 其他作品：https://www.jiaokey.com/tag/富田仁著.html</w:t>
      </w:r>
    </w:p>
    <w:p>
      <w:r>
        <w:t>産業新潮社 出版图书：https://www.jiaokey.com/tag/産業新潮社.html</w:t>
      </w:r>
    </w:p>
    <w:p>
      <w:r>
        <w:t>关键词搜索：https://www.jiaokey.com/tag/フランスの人間学:エスプリの原点.html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