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環境と税制:相互補完的な政策を目指して</w:t>
      </w:r>
    </w:p>
    <w:p>
      <w:r>
        <w:rPr>
          <w:rFonts w:ascii="宋体" w:hAnsi="宋体" w:eastAsia="宋体"/>
          <w:sz w:val="24"/>
        </w:rPr>
        <w:t>OECD(経済協力開発機構)著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環境と税制:相互補完的な政策を目指して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OECD(経済協力開発機構)著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本书出售、求购地址：https://www.jiaokey.com/book/detail/40623190.html</w:t>
      </w:r>
    </w:p>
    <w:p>
      <w:r>
        <w:t>更多相关图书推荐：https://www.jiaokey.com</w:t>
      </w:r>
    </w:p>
    <w:p>
      <w:r>
        <w:t>OECD(経済協力開発機構)著 其他作品：https://www.jiaokey.com/tag/OECD(経済協力開発機構)著.html</w:t>
      </w:r>
    </w:p>
    <w:p>
      <w:r>
        <w:t>有斐閣 出版图书：https://www.jiaokey.com/tag/有斐閣.html</w:t>
      </w:r>
    </w:p>
    <w:p>
      <w:r>
        <w:t>关键词搜索：https://www.jiaokey.com/tag/環境と税制:相互補完的な政策を目指して.html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