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定年制度の考え方と実際</w:t>
      </w:r>
    </w:p>
    <w:p>
      <w:r>
        <w:rPr>
          <w:rFonts w:ascii="宋体" w:hAnsi="宋体" w:eastAsia="宋体"/>
          <w:sz w:val="24"/>
        </w:rPr>
        <w:t>近藤富士雄編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定年制度の考え方と実際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近藤富士雄編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日本経営者団体連盟弘報部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本书出售、求购地址：https://www.jiaokey.com/book/detail/40622511.html</w:t>
      </w:r>
    </w:p>
    <w:p>
      <w:r>
        <w:t>更多相关图书推荐：https://www.jiaokey.com</w:t>
      </w:r>
    </w:p>
    <w:p>
      <w:r>
        <w:t>近藤富士雄編 其他作品：https://www.jiaokey.com/tag/近藤富士雄編.html</w:t>
      </w:r>
    </w:p>
    <w:p>
      <w:r>
        <w:t>日本経営者団体連盟弘報部 出版图书：https://www.jiaokey.com/tag/日本経営者団体連盟弘報部.html</w:t>
      </w:r>
    </w:p>
    <w:p>
      <w:r>
        <w:t>关键词搜索：https://www.jiaokey.com/tag/定年制度の考え方と実際.html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