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第三の自然律:物の相とその理の発見</w:t>
      </w:r>
    </w:p>
    <w:p>
      <w:r>
        <w:rPr>
          <w:rFonts w:ascii="宋体" w:hAnsi="宋体" w:eastAsia="宋体"/>
          <w:sz w:val="24"/>
        </w:rPr>
        <w:t>奈良田憲治著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第三の自然律:物の相とその理の発見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奈良田憲治著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奈良田敬二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本书出售、求购地址：https://www.jiaokey.com/book/detail/40620507.html</w:t>
      </w:r>
    </w:p>
    <w:p>
      <w:r>
        <w:t>更多相关图书推荐：https://www.jiaokey.com</w:t>
      </w:r>
    </w:p>
    <w:p>
      <w:r>
        <w:t>奈良田憲治著 其他作品：https://www.jiaokey.com/tag/奈良田憲治著.html</w:t>
      </w:r>
    </w:p>
    <w:p>
      <w:r>
        <w:t>奈良田敬二 出版图书：https://www.jiaokey.com/tag/奈良田敬二.html</w:t>
      </w:r>
    </w:p>
    <w:p>
      <w:r>
        <w:t>关键词搜索：https://www.jiaokey.com/tag/第三の自然律:物の相とその理の発見.html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