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経世の書「呂氏春秋」を読む:人間学講話</w:t>
      </w:r>
    </w:p>
    <w:p>
      <w:r>
        <w:rPr>
          <w:rFonts w:ascii="宋体" w:hAnsi="宋体" w:eastAsia="宋体"/>
          <w:sz w:val="24"/>
        </w:rPr>
        <w:t>安岡正篤著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経世の書「呂氏春秋」を読む:人間学講話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安岡正篤著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本书出售、求购地址：https://www.jiaokey.com/book/detail/40620002.html</w:t>
      </w:r>
    </w:p>
    <w:p>
      <w:r>
        <w:t>更多相关图书推荐：https://www.jiaokey.com</w:t>
      </w:r>
    </w:p>
    <w:p>
      <w:r>
        <w:t>安岡正篤著 其他作品：https://www.jiaokey.com/tag/安岡正篤著.html</w:t>
      </w:r>
    </w:p>
    <w:p>
      <w:r>
        <w:t>致知出版社 出版图书：https://www.jiaokey.com/tag/致知出版社.html</w:t>
      </w:r>
    </w:p>
    <w:p>
      <w:r>
        <w:t>关键词搜索：https://www.jiaokey.com/tag/経世の書「呂氏春秋」を読む:人間学講話.html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