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金属错体的合成与配位子的反応性：日文</w:t>
      </w:r>
    </w:p>
    <w:p>
      <w:r>
        <w:rPr>
          <w:rFonts w:ascii="宋体" w:hAnsi="宋体" w:eastAsia="宋体"/>
          <w:sz w:val="24"/>
        </w:rPr>
        <w:t>中原昭次柴田村冶编集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金属错体的合成与配位子的反応性：日文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中原昭次柴田村冶编集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本书出售、求购地址：https://www.jiaokey.com/book/detail/40617457.html</w:t>
      </w:r>
    </w:p>
    <w:p>
      <w:r>
        <w:t>更多相关图书推荐：https://www.jiaokey.com</w:t>
      </w:r>
    </w:p>
    <w:p>
      <w:r>
        <w:t>中原昭次柴田村冶编集 其他作品：https://www.jiaokey.com/tag/中原昭次柴田村冶编集.html</w:t>
      </w:r>
    </w:p>
    <w:p>
      <w:r>
        <w:t>南江堂 出版图书：https://www.jiaokey.com/tag/南江堂.html</w:t>
      </w:r>
    </w:p>
    <w:p>
      <w:r>
        <w:t>关键词搜索：https://www.jiaokey.com/tag/金属错体的合成与配位子的反応性：日文.html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