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英詩とその背景:一四七〇年より一八七〇年にわたる五つの詩を例として</w:t>
      </w:r>
    </w:p>
    <w:p>
      <w:r>
        <w:rPr>
          <w:rFonts w:ascii="宋体" w:hAnsi="宋体" w:eastAsia="宋体"/>
          <w:sz w:val="24"/>
        </w:rPr>
        <w:t>E.M.W.テイリャード著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英詩とその背景:一四七〇年より一八七〇年にわたる五つの詩を例として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E.M.W.テイリャード著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本书出售、求购地址：https://www.jiaokey.com/book/detail/40600466.html</w:t>
      </w:r>
    </w:p>
    <w:p>
      <w:r>
        <w:t>更多相关图书推荐：https://www.jiaokey.com</w:t>
      </w:r>
    </w:p>
    <w:p>
      <w:r>
        <w:t>E.M.W.テイリャード著 其他作品：https://www.jiaokey.com/tag/E.M.W.テイリャード著.html</w:t>
      </w:r>
    </w:p>
    <w:p>
      <w:r>
        <w:t>南雲堂 出版图书：https://www.jiaokey.com/tag/南雲堂.html</w:t>
      </w:r>
    </w:p>
    <w:p>
      <w:r>
        <w:t>关键词搜索：https://www.jiaokey.com/tag/英詩とその背景:一四七〇年より一八七〇年にわたる五つの詩を例として.html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