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アトピー治療のW (ダブル) 戦略</w:t>
      </w:r>
    </w:p>
    <w:p>
      <w:r>
        <w:rPr>
          <w:rFonts w:ascii="宋体" w:hAnsi="宋体" w:eastAsia="宋体"/>
          <w:sz w:val="24"/>
        </w:rPr>
        <w:t>下谷麻里子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アトピー治療のW (ダブル) 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下谷麻里子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メタモル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本书出售、求购地址：https://www.jiaokey.com/book/detail/40591540.html</w:t>
      </w:r>
    </w:p>
    <w:p>
      <w:r>
        <w:t>更多相关图书推荐：https://www.jiaokey.com</w:t>
      </w:r>
    </w:p>
    <w:p>
      <w:r>
        <w:t>下谷麻里子 其他作品：https://www.jiaokey.com/tag/下谷麻里子.html</w:t>
      </w:r>
    </w:p>
    <w:p>
      <w:r>
        <w:t>メタモル 出版图书：https://www.jiaokey.com/tag/メタモル.html</w:t>
      </w:r>
    </w:p>
    <w:p>
      <w:r>
        <w:t>关键词搜索：https://www.jiaokey.com/tag/アトピー治療のW (ダブル) 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