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作物の光合成と物質生産</w:t>
      </w:r>
    </w:p>
    <w:p>
      <w:r>
        <w:rPr>
          <w:rFonts w:ascii="宋体" w:hAnsi="宋体" w:eastAsia="宋体"/>
          <w:sz w:val="24"/>
        </w:rPr>
        <w:t>作物と光合成と物質生産編集委員会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作物の光合成と物質生産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作物と光合成と物質生産編集委員会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本书出售、求购地址：https://www.jiaokey.com/book/detail/40573759.html</w:t>
      </w:r>
    </w:p>
    <w:p>
      <w:r>
        <w:t>更多相关图书推荐：https://www.jiaokey.com</w:t>
      </w:r>
    </w:p>
    <w:p>
      <w:r>
        <w:t>作物と光合成と物質生産編集委員会 其他作品：https://www.jiaokey.com/tag/作物と光合成と物質生産編集委員会.html</w:t>
      </w:r>
    </w:p>
    <w:p>
      <w:r>
        <w:t>養賢堂 出版图书：https://www.jiaokey.com/tag/養賢堂.html</w:t>
      </w:r>
    </w:p>
    <w:p>
      <w:r>
        <w:t>关键词搜索：https://www.jiaokey.com/tag/作物の光合成と物質生産.html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