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図書館活動の拡張とその背景</w:t>
      </w:r>
    </w:p>
    <w:p>
      <w:r>
        <w:rPr>
          <w:rFonts w:ascii="宋体" w:hAnsi="宋体" w:eastAsia="宋体"/>
          <w:sz w:val="24"/>
        </w:rPr>
        <w:t>廿日出逸暁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図書館活動の拡張とその背景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廿日出逸暁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図書館生活50年記念刊行会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本书出售、求购地址：https://www.jiaokey.com/book/detail/40553552.html</w:t>
      </w:r>
    </w:p>
    <w:p>
      <w:r>
        <w:t>更多相关图书推荐：https://www.jiaokey.com</w:t>
      </w:r>
    </w:p>
    <w:p>
      <w:r>
        <w:t>廿日出逸暁 其他作品：https://www.jiaokey.com/tag/廿日出逸暁.html</w:t>
      </w:r>
    </w:p>
    <w:p>
      <w:r>
        <w:t>図書館生活50年記念刊行会 出版图书：https://www.jiaokey.com/tag/図書館生活50年記念刊行会.html</w:t>
      </w:r>
    </w:p>
    <w:p>
      <w:r>
        <w:t>关键词搜索：https://www.jiaokey.com/tag/図書館活動の拡張とその背景.html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