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学校図書館のための資料収集マニュアル</w:t>
      </w:r>
    </w:p>
    <w:p>
      <w:r>
        <w:rPr>
          <w:rFonts w:ascii="宋体" w:hAnsi="宋体" w:eastAsia="宋体"/>
          <w:sz w:val="24"/>
        </w:rPr>
        <w:t>古賀節子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学校図書館のための資料収集マニュアル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古賀節子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酒井書店·育英堂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本书出售、求购地址：https://www.jiaokey.com/book/detail/40553502.html</w:t>
      </w:r>
    </w:p>
    <w:p>
      <w:r>
        <w:t>更多相关图书推荐：https://www.jiaokey.com</w:t>
      </w:r>
    </w:p>
    <w:p>
      <w:r>
        <w:t>古賀節子 其他作品：https://www.jiaokey.com/tag/古賀節子.html</w:t>
      </w:r>
    </w:p>
    <w:p>
      <w:r>
        <w:t>酒井書店·育英堂 出版图书：https://www.jiaokey.com/tag/酒井書店·育英堂.html</w:t>
      </w:r>
    </w:p>
    <w:p>
      <w:r>
        <w:t>关键词搜索：https://www.jiaokey.com/tag/学校図書館のための資料収集マニュアル.html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