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欧州通貨統合は何を克服したのか</w:t>
      </w:r>
    </w:p>
    <w:p>
      <w:r>
        <w:rPr>
          <w:rFonts w:ascii="宋体" w:hAnsi="宋体" w:eastAsia="宋体"/>
          <w:sz w:val="24"/>
        </w:rPr>
        <w:t>後藤健二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欧州通貨統合は何を克服したのか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本书出售、求购地址：https://www.jiaokey.com/book/detail/40548971.html</w:t>
      </w:r>
    </w:p>
    <w:p>
      <w:r>
        <w:t>更多相关图书推荐：https://www.jiaokey.com</w:t>
      </w:r>
    </w:p>
    <w:p>
      <w:r>
        <w:t>後藤健二 其他作品：https://www.jiaokey.com/tag/後藤健二.html</w:t>
      </w:r>
    </w:p>
    <w:p>
      <w:r>
        <w:t>大蔵財務協会 出版图书：https://www.jiaokey.com/tag/大蔵財務協会.html</w:t>
      </w:r>
    </w:p>
    <w:p>
      <w:r>
        <w:t>关键词搜索：https://www.jiaokey.com/tag/欧州通貨統合は何を克服したのか.html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