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EXTRACTION IN PATTERN RECOGNITION AND COMPUTER VISION INVARIANTS</w:t>
      </w:r>
    </w:p>
    <w:p>
      <w:r>
        <w:rPr>
          <w:rFonts w:ascii="宋体" w:hAnsi="宋体" w:eastAsia="宋体"/>
          <w:sz w:val="24"/>
        </w:rPr>
        <w:t>孙即祥，王晓华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EXTRACTION IN PATTERN RECOGNITION AND COMPUTER VISION INVARIANTS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孙即祥，王晓华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本书出售、求购地址：https://www.jiaokey.com/book/detail/40539823.html</w:t>
      </w:r>
    </w:p>
    <w:p>
      <w:r>
        <w:t>更多相关图书推荐：https://www.jiaokey.com</w:t>
      </w:r>
    </w:p>
    <w:p>
      <w:r>
        <w:t>孙即祥，王晓华 其他作品：https://www.jiaokey.com/tag/孙即祥，王晓华.html</w:t>
      </w:r>
    </w:p>
    <w:p>
      <w:r>
        <w:t>国防工业出版社 出版图书：https://www.jiaokey.com/tag/国防工业出版社.html</w:t>
      </w:r>
    </w:p>
    <w:p>
      <w:r>
        <w:t>关键词搜索：https://www.jiaokey.com/tag/FEATURE EXTRACTION IN PATTERN RECOGNITION AND COMPUTER VISION INVARIANTS.html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