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21世紀国際ビジネスの展望</w:t>
      </w:r>
    </w:p>
    <w:p>
      <w:r>
        <w:rPr>
          <w:rFonts w:ascii="宋体" w:hAnsi="宋体" w:eastAsia="宋体"/>
          <w:sz w:val="24"/>
        </w:rPr>
        <w:t>横滨商科大学開学25周年記念委員会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21世紀国際ビジネスの展望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横滨商科大学開学25周年記念委員会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本书出售、求购地址：https://www.jiaokey.com/book/detail/40538046.html</w:t>
      </w:r>
    </w:p>
    <w:p>
      <w:r>
        <w:t>更多相关图书推荐：https://www.jiaokey.com</w:t>
      </w:r>
    </w:p>
    <w:p>
      <w:r>
        <w:t>横滨商科大学開学25周年記念委員会 其他作品：https://www.jiaokey.com/tag/横滨商科大学開学25周年記念委員会.html</w:t>
      </w:r>
    </w:p>
    <w:p>
      <w:r>
        <w:t>白桃書房 出版图书：https://www.jiaokey.com/tag/白桃書房.html</w:t>
      </w:r>
    </w:p>
    <w:p>
      <w:r>
        <w:t>关键词搜索：https://www.jiaokey.com/tag/21世紀国際ビジネスの展望.html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