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内部統制と利益計画</w:t>
      </w:r>
    </w:p>
    <w:p>
      <w:r>
        <w:rPr>
          <w:rFonts w:ascii="宋体" w:hAnsi="宋体" w:eastAsia="宋体"/>
          <w:sz w:val="24"/>
        </w:rPr>
        <w:t>産業合理化審議会.管理部会財務管理分科会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内部統制と利益計画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産業合理化審議会.管理部会財務管理分科会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本书出售、求购地址：https://www.jiaokey.com/book/detail/40537799.html</w:t>
      </w:r>
    </w:p>
    <w:p>
      <w:r>
        <w:t>更多相关图书推荐：https://www.jiaokey.com</w:t>
      </w:r>
    </w:p>
    <w:p>
      <w:r>
        <w:t>産業合理化審議会.管理部会財務管理分科会 其他作品：https://www.jiaokey.com/tag/産業合理化審議会.管理部会財務管理分科会.html</w:t>
      </w:r>
    </w:p>
    <w:p>
      <w:r>
        <w:t>日刊工業新聞社 出版图书：https://www.jiaokey.com/tag/日刊工業新聞社.html</w:t>
      </w:r>
    </w:p>
    <w:p>
      <w:r>
        <w:t>关键词搜索：https://www.jiaokey.com/tag/内部統制と利益計画.html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