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大変革期における経営者の洞察力と意思決定 5</w:t>
      </w:r>
    </w:p>
    <w:p>
      <w:r>
        <w:rPr>
          <w:rFonts w:ascii="宋体" w:hAnsi="宋体" w:eastAsia="宋体"/>
          <w:sz w:val="24"/>
        </w:rPr>
        <w:t>清水龍瑩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大変革期における経営者の洞察力と意思決定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清水龍瑩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本书出售、求购地址：https://www.jiaokey.com/book/detail/40537534.html</w:t>
      </w:r>
    </w:p>
    <w:p>
      <w:r>
        <w:t>更多相关图书推荐：https://www.jiaokey.com</w:t>
      </w:r>
    </w:p>
    <w:p>
      <w:r>
        <w:t>清水龍瑩 其他作品：https://www.jiaokey.com/tag/清水龍瑩.html</w:t>
      </w:r>
    </w:p>
    <w:p>
      <w:r>
        <w:t>千倉書房 出版图书：https://www.jiaokey.com/tag/千倉書房.html</w:t>
      </w:r>
    </w:p>
    <w:p>
      <w:r>
        <w:t>关键词搜索：https://www.jiaokey.com/tag/大変革期における経営者の洞察力と意思決定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