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都市の再生戦略</w:t>
      </w:r>
    </w:p>
    <w:p>
      <w:r>
        <w:rPr>
          <w:rFonts w:ascii="宋体" w:hAnsi="宋体" w:eastAsia="宋体"/>
          <w:sz w:val="24"/>
        </w:rPr>
        <w:t>古田陽久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都市の再生戦略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古田陽久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シンクタンク瀬戸内総合研究機構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本书出售、求购地址：https://www.jiaokey.com/book/detail/40534454.html</w:t>
      </w:r>
    </w:p>
    <w:p>
      <w:r>
        <w:t>更多相关图书推荐：https://www.jiaokey.com</w:t>
      </w:r>
    </w:p>
    <w:p>
      <w:r>
        <w:t>古田陽久 其他作品：https://www.jiaokey.com/tag/古田陽久.html</w:t>
      </w:r>
    </w:p>
    <w:p>
      <w:r>
        <w:t>シンクタンク瀬戸内総合研究機構 出版图书：https://www.jiaokey.com/tag/シンクタンク瀬戸内総合研究機構.html</w:t>
      </w:r>
    </w:p>
    <w:p>
      <w:r>
        <w:t>关键词搜索：https://www.jiaokey.com/tag/都市の再生戦略.html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