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PRTR法は企業と社会をどう変えるか</w:t>
      </w:r>
    </w:p>
    <w:p>
      <w:r>
        <w:rPr>
          <w:rFonts w:ascii="宋体" w:hAnsi="宋体" w:eastAsia="宋体"/>
          <w:sz w:val="24"/>
        </w:rPr>
        <w:t>マイガイア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PRTR法は企業と社会をどう変えるか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マイガイア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通産資料調査会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本书出售、求购地址：https://www.jiaokey.com/book/detail/40528360.html</w:t>
      </w:r>
    </w:p>
    <w:p>
      <w:r>
        <w:t>更多相关图书推荐：https://www.jiaokey.com</w:t>
      </w:r>
    </w:p>
    <w:p>
      <w:r>
        <w:t>マイガイア 其他作品：https://www.jiaokey.com/tag/マイガイア.html</w:t>
      </w:r>
    </w:p>
    <w:p>
      <w:r>
        <w:t>通産資料調査会 出版图书：https://www.jiaokey.com/tag/通産資料調査会.html</w:t>
      </w:r>
    </w:p>
    <w:p>
      <w:r>
        <w:t>关键词搜索：https://www.jiaokey.com/tag/PRTR法は企業と社会をどう変えるか.html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