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公害犯罪処罰法の解説</w:t>
      </w:r>
    </w:p>
    <w:p>
      <w:r>
        <w:rPr>
          <w:rFonts w:ascii="宋体" w:hAnsi="宋体" w:eastAsia="宋体"/>
          <w:sz w:val="24"/>
        </w:rPr>
        <w:t>佐藤道夫，堀田力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公害犯罪処罰法の解説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佐藤道夫，堀田力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本书出售、求购地址：https://www.jiaokey.com/book/detail/40528339.html</w:t>
      </w:r>
    </w:p>
    <w:p>
      <w:r>
        <w:t>更多相关图书推荐：https://www.jiaokey.com</w:t>
      </w:r>
    </w:p>
    <w:p>
      <w:r>
        <w:t>佐藤道夫，堀田力 其他作品：https://www.jiaokey.com/tag/佐藤道夫，堀田力.html</w:t>
      </w:r>
    </w:p>
    <w:p>
      <w:r>
        <w:t>中央法規 出版图书：https://www.jiaokey.com/tag/中央法規.html</w:t>
      </w:r>
    </w:p>
    <w:p>
      <w:r>
        <w:t>关键词搜索：https://www.jiaokey.com/tag/公害犯罪処罰法の解説.html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