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公共用地の取得に伴う損失補償基準要綱の解説</w:t>
      </w:r>
    </w:p>
    <w:p>
      <w:r>
        <w:rPr>
          <w:rFonts w:ascii="宋体" w:hAnsi="宋体" w:eastAsia="宋体"/>
          <w:sz w:val="24"/>
        </w:rPr>
        <w:t>小林忠雄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公共用地の取得に伴う損失補償基準要綱の解説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小林忠雄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近代図書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本书出售、求购地址：https://www.jiaokey.com/book/detail/40528222.html</w:t>
      </w:r>
    </w:p>
    <w:p>
      <w:r>
        <w:t>更多相关图书推荐：https://www.jiaokey.com</w:t>
      </w:r>
    </w:p>
    <w:p>
      <w:r>
        <w:t>小林忠雄 其他作品：https://www.jiaokey.com/tag/小林忠雄.html</w:t>
      </w:r>
    </w:p>
    <w:p>
      <w:r>
        <w:t>近代図書 出版图书：https://www.jiaokey.com/tag/近代図書.html</w:t>
      </w:r>
    </w:p>
    <w:p>
      <w:r>
        <w:t>关键词搜索：https://www.jiaokey.com/tag/公共用地の取得に伴う損失補償基準要綱の解説.html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