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不正商品問題概論</w:t>
      </w:r>
    </w:p>
    <w:p>
      <w:r>
        <w:rPr>
          <w:rFonts w:ascii="宋体" w:hAnsi="宋体" w:eastAsia="宋体"/>
          <w:sz w:val="24"/>
        </w:rPr>
        <w:t>小川宗一，岩本明訓，土屋良弘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不正商品問題概論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小川宗一，岩本明訓，土屋良弘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発明協会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本书出售、求购地址：https://www.jiaokey.com/book/detail/40528162.html</w:t>
      </w:r>
    </w:p>
    <w:p>
      <w:r>
        <w:t>更多相关图书推荐：https://www.jiaokey.com</w:t>
      </w:r>
    </w:p>
    <w:p>
      <w:r>
        <w:t>小川宗一，岩本明訓，土屋良弘 其他作品：https://www.jiaokey.com/tag/小川宗一，岩本明訓，土屋良弘.html</w:t>
      </w:r>
    </w:p>
    <w:p>
      <w:r>
        <w:t>発明協会 出版图书：https://www.jiaokey.com/tag/発明協会.html</w:t>
      </w:r>
    </w:p>
    <w:p>
      <w:r>
        <w:t>关键词搜索：https://www.jiaokey.com/tag/不正商品問題概論.html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