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誇大広告と懸賞販売の規制</w:t>
      </w:r>
    </w:p>
    <w:p>
      <w:r>
        <w:rPr>
          <w:rFonts w:ascii="宋体" w:hAnsi="宋体" w:eastAsia="宋体"/>
          <w:sz w:val="24"/>
        </w:rPr>
        <w:t>公正取引委員会事務局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誇大広告と懸賞販売の規制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公正取引委員会事務局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本书出售、求购地址：https://www.jiaokey.com/book/detail/40528123.html</w:t>
      </w:r>
    </w:p>
    <w:p>
      <w:r>
        <w:t>更多相关图书推荐：https://www.jiaokey.com</w:t>
      </w:r>
    </w:p>
    <w:p>
      <w:r>
        <w:t>公正取引委員会事務局 其他作品：https://www.jiaokey.com/tag/公正取引委員会事務局.html</w:t>
      </w:r>
    </w:p>
    <w:p>
      <w:r>
        <w:t>ダイヤモンド社 出版图书：https://www.jiaokey.com/tag/ダイヤモンド社.html</w:t>
      </w:r>
    </w:p>
    <w:p>
      <w:r>
        <w:t>关键词搜索：https://www.jiaokey.com/tag/誇大広告と懸賞販売の規制.html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