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地方自治法</w:t>
      </w:r>
    </w:p>
    <w:p>
      <w:r>
        <w:rPr>
          <w:rFonts w:ascii="宋体" w:hAnsi="宋体" w:eastAsia="宋体"/>
          <w:sz w:val="24"/>
        </w:rPr>
        <w:t>俵靜夫，田上穣治，原龍之助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俵靜夫，田上穣治，原龍之助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本书出售、求购地址：https://www.jiaokey.com/book/detail/40527830.html</w:t>
      </w:r>
    </w:p>
    <w:p>
      <w:r>
        <w:t>更多相关图书推荐：https://www.jiaokey.com</w:t>
      </w:r>
    </w:p>
    <w:p>
      <w:r>
        <w:t>俵靜夫，田上穣治，原龍之助 其他作品：https://www.jiaokey.com/tag/俵靜夫，田上穣治，原龍之助.html</w:t>
      </w:r>
    </w:p>
    <w:p>
      <w:r>
        <w:t>自由国民社 出版图书：https://www.jiaokey.com/tag/自由国民社.html</w:t>
      </w:r>
    </w:p>
    <w:p>
      <w:r>
        <w:t>关键词搜索：https://www.jiaokey.com/tag/地方自治法.html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